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070" w:type="dxa"/>
        <w:tblInd w:w="-545" w:type="dxa"/>
        <w:tblLook w:val="04A0" w:firstRow="1" w:lastRow="0" w:firstColumn="1" w:lastColumn="0" w:noHBand="0" w:noVBand="1"/>
      </w:tblPr>
      <w:tblGrid>
        <w:gridCol w:w="11070"/>
      </w:tblGrid>
      <w:tr w:rsidR="0061639B" w:rsidRPr="00683555" w:rsidTr="0048385E">
        <w:trPr>
          <w:trHeight w:val="14840"/>
        </w:trPr>
        <w:tc>
          <w:tcPr>
            <w:tcW w:w="11070" w:type="dxa"/>
          </w:tcPr>
          <w:p w:rsidR="00081B73" w:rsidRPr="00683555" w:rsidRDefault="00081B73" w:rsidP="006A36A3">
            <w:pPr>
              <w:ind w:left="450"/>
              <w:jc w:val="both"/>
              <w:rPr>
                <w:rFonts w:cstheme="minorHAnsi"/>
                <w:b/>
              </w:rPr>
            </w:pPr>
          </w:p>
          <w:p w:rsidR="00081B73" w:rsidRPr="00683555" w:rsidRDefault="00035FE3" w:rsidP="006A36A3">
            <w:pPr>
              <w:ind w:left="450"/>
              <w:jc w:val="center"/>
              <w:rPr>
                <w:rFonts w:cstheme="minorHAnsi"/>
                <w:b/>
              </w:rPr>
            </w:pPr>
            <w:r w:rsidRPr="00683555">
              <w:rPr>
                <w:rFonts w:cstheme="minorHAnsi"/>
                <w:noProof/>
                <w:lang w:eastAsia="es-DO"/>
              </w:rPr>
              <w:drawing>
                <wp:inline distT="0" distB="0" distL="0" distR="0" wp14:anchorId="781B884A" wp14:editId="534884EE">
                  <wp:extent cx="828125" cy="723900"/>
                  <wp:effectExtent l="0" t="0" r="0" b="0"/>
                  <wp:docPr id="4" name="Imagen 4" descr="Descripción: C:\Users\sguzman\AppData\Local\Microsoft\Windows\Temporary Internet Files\Content.Outlook\S1I68LP3\RGB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sguzman\AppData\Local\Microsoft\Windows\Temporary Internet Files\Content.Outlook\S1I68LP3\RGB_Vertic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892" cy="727193"/>
                          </a:xfrm>
                          <a:prstGeom prst="rect">
                            <a:avLst/>
                          </a:prstGeom>
                          <a:noFill/>
                          <a:ln>
                            <a:noFill/>
                          </a:ln>
                        </pic:spPr>
                      </pic:pic>
                    </a:graphicData>
                  </a:graphic>
                </wp:inline>
              </w:drawing>
            </w:r>
          </w:p>
          <w:p w:rsidR="00035FE3" w:rsidRPr="00683555" w:rsidRDefault="00035FE3" w:rsidP="006A36A3">
            <w:pPr>
              <w:ind w:left="450"/>
              <w:jc w:val="center"/>
              <w:rPr>
                <w:rFonts w:cstheme="minorHAnsi"/>
                <w:b/>
              </w:rPr>
            </w:pPr>
          </w:p>
          <w:p w:rsidR="008534DE" w:rsidRDefault="00DA31FC" w:rsidP="006A36A3">
            <w:pPr>
              <w:ind w:left="450"/>
              <w:jc w:val="center"/>
              <w:rPr>
                <w:rFonts w:eastAsia="Times New Roman" w:cstheme="minorHAnsi"/>
                <w:b/>
                <w:lang w:eastAsia="es-ES"/>
              </w:rPr>
            </w:pPr>
            <w:r w:rsidRPr="00683555">
              <w:rPr>
                <w:rFonts w:eastAsia="Times New Roman" w:cstheme="minorHAnsi"/>
                <w:b/>
                <w:lang w:eastAsia="es-ES"/>
              </w:rPr>
              <w:t xml:space="preserve">CENTROS DE VOTACIÓN </w:t>
            </w:r>
            <w:r w:rsidR="008534DE">
              <w:rPr>
                <w:rFonts w:eastAsia="Times New Roman" w:cstheme="minorHAnsi"/>
                <w:b/>
                <w:lang w:eastAsia="es-ES"/>
              </w:rPr>
              <w:t>ASAMBLEA ELECTORAL 2020</w:t>
            </w:r>
          </w:p>
          <w:p w:rsidR="006A36A3" w:rsidRPr="00683555" w:rsidRDefault="006A36A3" w:rsidP="006A36A3">
            <w:pPr>
              <w:ind w:left="450"/>
              <w:jc w:val="both"/>
              <w:rPr>
                <w:rFonts w:cstheme="minorHAnsi"/>
                <w:b/>
              </w:rPr>
            </w:pPr>
          </w:p>
          <w:p w:rsidR="00035FE3" w:rsidRDefault="00035FE3" w:rsidP="006A36A3">
            <w:pPr>
              <w:ind w:left="450" w:right="765"/>
              <w:jc w:val="both"/>
              <w:rPr>
                <w:rFonts w:cstheme="minorHAnsi"/>
              </w:rPr>
            </w:pPr>
            <w:r w:rsidRPr="00683555">
              <w:rPr>
                <w:rFonts w:cstheme="minorHAnsi"/>
              </w:rPr>
              <w:t>El Comité Electoral, conformado por la Procuradora General de la República, la Directora General de Persecución, el Director General de Carrera, la Directora General Administrativa y la Rectora de</w:t>
            </w:r>
            <w:r w:rsidR="006A36A3" w:rsidRPr="00683555">
              <w:rPr>
                <w:rFonts w:cstheme="minorHAnsi"/>
              </w:rPr>
              <w:t>l Instituto Superior de</w:t>
            </w:r>
            <w:r w:rsidRPr="00683555">
              <w:rPr>
                <w:rFonts w:cstheme="minorHAnsi"/>
              </w:rPr>
              <w:t xml:space="preserve"> la Escuela Nacional del Ministerio Público, de conformidad con el artículo 49 de la Ley Orgánica del Ministerio Público, núm. 133-11, convoca a la Asamblea Electoral para la elección de los miembros que conformarán el Consejo Superior del Ministerio Público y que integrarán el Consejo Académico de la Escuela Nacional del Ministerio Público</w:t>
            </w:r>
            <w:r w:rsidR="0077112D" w:rsidRPr="00683555">
              <w:rPr>
                <w:rFonts w:cstheme="minorHAnsi"/>
              </w:rPr>
              <w:t xml:space="preserve">, la cual se llevará a cabo el </w:t>
            </w:r>
            <w:r w:rsidR="0077112D" w:rsidRPr="00683555">
              <w:rPr>
                <w:rFonts w:cstheme="minorHAnsi"/>
                <w:b/>
              </w:rPr>
              <w:t xml:space="preserve">sábado 12 de diciembre de 2020, </w:t>
            </w:r>
            <w:r w:rsidR="007B423F">
              <w:rPr>
                <w:rFonts w:cstheme="minorHAnsi"/>
              </w:rPr>
              <w:t>de 9:00 a.m. a 4:00</w:t>
            </w:r>
            <w:r w:rsidR="0077112D" w:rsidRPr="00683555">
              <w:rPr>
                <w:rFonts w:cstheme="minorHAnsi"/>
              </w:rPr>
              <w:t xml:space="preserve"> p.m.</w:t>
            </w:r>
          </w:p>
          <w:p w:rsidR="007B423F" w:rsidRPr="007B423F" w:rsidRDefault="007B423F" w:rsidP="006A36A3">
            <w:pPr>
              <w:ind w:left="450" w:right="765"/>
              <w:jc w:val="both"/>
              <w:rPr>
                <w:rFonts w:cstheme="minorHAnsi"/>
                <w:b/>
              </w:rPr>
            </w:pPr>
          </w:p>
          <w:p w:rsidR="00035FE3" w:rsidRPr="00683555" w:rsidRDefault="00262DD4" w:rsidP="006A36A3">
            <w:pPr>
              <w:ind w:left="435" w:right="645"/>
              <w:jc w:val="both"/>
              <w:rPr>
                <w:rFonts w:cstheme="minorHAnsi"/>
              </w:rPr>
            </w:pPr>
            <w:r>
              <w:rPr>
                <w:rFonts w:cstheme="minorHAnsi"/>
              </w:rPr>
              <w:t>L</w:t>
            </w:r>
            <w:r w:rsidR="006A36A3" w:rsidRPr="00683555">
              <w:rPr>
                <w:rFonts w:cstheme="minorHAnsi"/>
              </w:rPr>
              <w:t xml:space="preserve">os centros de votación estarán habilitados en las Procuradurías Regionales </w:t>
            </w:r>
            <w:r w:rsidR="00035FE3" w:rsidRPr="00683555">
              <w:rPr>
                <w:rFonts w:cstheme="minorHAnsi"/>
              </w:rPr>
              <w:t>a fin de garantizar la salud y seguridad de los miembros del Ministerio Público ante la pandemia provocada por el coronavirus (COVID-19) y de manera especial para garantizar mayor transparencia a través de la descentralización.</w:t>
            </w:r>
          </w:p>
          <w:p w:rsidR="006A36A3" w:rsidRPr="00683555" w:rsidRDefault="006A36A3" w:rsidP="006A36A3">
            <w:pPr>
              <w:ind w:left="435" w:right="645"/>
              <w:jc w:val="both"/>
              <w:rPr>
                <w:rFonts w:cstheme="minorHAnsi"/>
              </w:rPr>
            </w:pPr>
          </w:p>
          <w:p w:rsidR="00262DD4" w:rsidRDefault="006A36A3" w:rsidP="006A36A3">
            <w:pPr>
              <w:ind w:left="435" w:right="645"/>
              <w:jc w:val="both"/>
              <w:rPr>
                <w:rFonts w:cstheme="minorHAnsi"/>
                <w:b/>
              </w:rPr>
            </w:pPr>
            <w:r w:rsidRPr="00683555">
              <w:rPr>
                <w:rFonts w:cstheme="minorHAnsi"/>
                <w:b/>
              </w:rPr>
              <w:t>Las Procuradurías Regionales que servirán como centros de votación son las siguientes:</w:t>
            </w:r>
          </w:p>
          <w:p w:rsidR="00683555" w:rsidRPr="00683555" w:rsidRDefault="00683555" w:rsidP="006A36A3">
            <w:pPr>
              <w:ind w:left="435" w:right="645"/>
              <w:jc w:val="both"/>
              <w:rPr>
                <w:rFonts w:cstheme="minorHAnsi"/>
                <w:b/>
              </w:rPr>
            </w:pPr>
          </w:p>
          <w:tbl>
            <w:tblPr>
              <w:tblW w:w="9437"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0"/>
              <w:gridCol w:w="2974"/>
              <w:gridCol w:w="2773"/>
            </w:tblGrid>
            <w:tr w:rsidR="00842547" w:rsidRPr="00683555" w:rsidTr="006D7CAD">
              <w:trPr>
                <w:trHeight w:val="300"/>
              </w:trPr>
              <w:tc>
                <w:tcPr>
                  <w:tcW w:w="3690" w:type="dxa"/>
                  <w:shd w:val="clear" w:color="000000" w:fill="ACB9CA"/>
                  <w:vAlign w:val="center"/>
                  <w:hideMark/>
                </w:tcPr>
                <w:p w:rsidR="00842547" w:rsidRPr="00683555" w:rsidRDefault="00842547" w:rsidP="00683555">
                  <w:pPr>
                    <w:spacing w:after="0" w:line="240" w:lineRule="auto"/>
                    <w:jc w:val="center"/>
                    <w:rPr>
                      <w:rFonts w:eastAsia="Times New Roman" w:cstheme="minorHAnsi"/>
                      <w:b/>
                      <w:bCs/>
                      <w:color w:val="000000"/>
                      <w:lang w:val="es-ES" w:eastAsia="es-ES"/>
                    </w:rPr>
                  </w:pPr>
                  <w:r w:rsidRPr="00683555">
                    <w:rPr>
                      <w:rFonts w:eastAsia="Times New Roman" w:cstheme="minorHAnsi"/>
                      <w:b/>
                      <w:bCs/>
                      <w:color w:val="000000"/>
                      <w:lang w:val="es-ES" w:eastAsia="es-ES"/>
                    </w:rPr>
                    <w:t>Lugar de celebración</w:t>
                  </w:r>
                </w:p>
              </w:tc>
              <w:tc>
                <w:tcPr>
                  <w:tcW w:w="2974" w:type="dxa"/>
                  <w:shd w:val="clear" w:color="000000" w:fill="ACB9CA"/>
                  <w:vAlign w:val="center"/>
                  <w:hideMark/>
                </w:tcPr>
                <w:p w:rsidR="00842547" w:rsidRPr="00683555" w:rsidRDefault="00842547" w:rsidP="00683555">
                  <w:pPr>
                    <w:spacing w:after="0" w:line="240" w:lineRule="auto"/>
                    <w:jc w:val="center"/>
                    <w:rPr>
                      <w:rFonts w:eastAsia="Times New Roman" w:cstheme="minorHAnsi"/>
                      <w:b/>
                      <w:bCs/>
                      <w:color w:val="000000"/>
                      <w:lang w:val="es-ES" w:eastAsia="es-ES"/>
                    </w:rPr>
                  </w:pPr>
                  <w:r w:rsidRPr="00683555">
                    <w:rPr>
                      <w:rFonts w:eastAsia="Times New Roman" w:cstheme="minorHAnsi"/>
                      <w:b/>
                      <w:bCs/>
                      <w:color w:val="000000"/>
                      <w:lang w:val="es-ES" w:eastAsia="es-ES"/>
                    </w:rPr>
                    <w:t>Jurisdicciones que votan en el lugar indicado</w:t>
                  </w:r>
                </w:p>
              </w:tc>
              <w:tc>
                <w:tcPr>
                  <w:tcW w:w="2773" w:type="dxa"/>
                  <w:shd w:val="clear" w:color="000000" w:fill="ACB9CA"/>
                </w:tcPr>
                <w:p w:rsidR="00842547" w:rsidRPr="00683555" w:rsidRDefault="00842547" w:rsidP="00683555">
                  <w:pPr>
                    <w:spacing w:after="0" w:line="240" w:lineRule="auto"/>
                    <w:jc w:val="center"/>
                    <w:rPr>
                      <w:rFonts w:eastAsia="Times New Roman" w:cstheme="minorHAnsi"/>
                      <w:b/>
                      <w:bCs/>
                      <w:color w:val="000000"/>
                      <w:lang w:val="es-ES" w:eastAsia="es-ES"/>
                    </w:rPr>
                  </w:pPr>
                  <w:r w:rsidRPr="00683555">
                    <w:rPr>
                      <w:rFonts w:eastAsia="Times New Roman" w:cstheme="minorHAnsi"/>
                      <w:b/>
                      <w:bCs/>
                      <w:color w:val="000000"/>
                      <w:lang w:val="es-ES" w:eastAsia="es-ES"/>
                    </w:rPr>
                    <w:t>Lugar de Votación</w:t>
                  </w:r>
                </w:p>
              </w:tc>
            </w:tr>
            <w:tr w:rsidR="00842547" w:rsidRPr="00683555" w:rsidTr="006D7CAD">
              <w:trPr>
                <w:trHeight w:val="660"/>
              </w:trPr>
              <w:tc>
                <w:tcPr>
                  <w:tcW w:w="3690" w:type="dxa"/>
                  <w:shd w:val="clear" w:color="auto" w:fill="auto"/>
                  <w:vAlign w:val="center"/>
                  <w:hideMark/>
                </w:tcPr>
                <w:p w:rsidR="00842547" w:rsidRPr="00FF30D4" w:rsidRDefault="00842547" w:rsidP="00683555">
                  <w:pPr>
                    <w:spacing w:after="0" w:line="240" w:lineRule="auto"/>
                    <w:jc w:val="center"/>
                    <w:rPr>
                      <w:rFonts w:eastAsia="Times New Roman" w:cstheme="minorHAnsi"/>
                      <w:b/>
                      <w:color w:val="000000"/>
                      <w:lang w:val="es-ES" w:eastAsia="es-ES"/>
                    </w:rPr>
                  </w:pPr>
                  <w:r w:rsidRPr="00FF30D4">
                    <w:rPr>
                      <w:rFonts w:eastAsia="Times New Roman" w:cstheme="minorHAnsi"/>
                      <w:b/>
                      <w:color w:val="000000"/>
                      <w:lang w:val="es-ES" w:eastAsia="es-ES"/>
                    </w:rPr>
                    <w:t>Procuraduría General de la República</w:t>
                  </w:r>
                </w:p>
              </w:tc>
              <w:tc>
                <w:tcPr>
                  <w:tcW w:w="2974" w:type="dxa"/>
                  <w:shd w:val="clear" w:color="auto" w:fill="auto"/>
                  <w:vAlign w:val="center"/>
                  <w:hideMark/>
                </w:tcPr>
                <w:p w:rsidR="00842547" w:rsidRPr="00FF30D4" w:rsidRDefault="00842547" w:rsidP="00683555">
                  <w:pPr>
                    <w:spacing w:after="0" w:line="240" w:lineRule="auto"/>
                    <w:jc w:val="center"/>
                    <w:rPr>
                      <w:rFonts w:eastAsia="Times New Roman" w:cstheme="minorHAnsi"/>
                      <w:b/>
                      <w:color w:val="000000"/>
                      <w:lang w:val="es-ES" w:eastAsia="es-ES"/>
                    </w:rPr>
                  </w:pPr>
                  <w:r w:rsidRPr="00FF30D4">
                    <w:rPr>
                      <w:rFonts w:eastAsia="Times New Roman" w:cstheme="minorHAnsi"/>
                      <w:b/>
                      <w:color w:val="000000"/>
                      <w:lang w:val="es-ES" w:eastAsia="es-ES"/>
                    </w:rPr>
                    <w:t>Distrito Nacional, Santo Domingo, Monte Plata y Santo Domingo Oeste</w:t>
                  </w:r>
                </w:p>
              </w:tc>
              <w:tc>
                <w:tcPr>
                  <w:tcW w:w="2773" w:type="dxa"/>
                </w:tcPr>
                <w:p w:rsidR="00842547" w:rsidRPr="00FF30D4" w:rsidRDefault="00683555" w:rsidP="00683555">
                  <w:pPr>
                    <w:spacing w:after="0" w:line="240" w:lineRule="auto"/>
                    <w:jc w:val="both"/>
                    <w:rPr>
                      <w:rFonts w:eastAsia="Times New Roman" w:cstheme="minorHAnsi"/>
                      <w:b/>
                      <w:lang w:val="es-ES" w:eastAsia="es-ES"/>
                    </w:rPr>
                  </w:pPr>
                  <w:r w:rsidRPr="00FF30D4">
                    <w:rPr>
                      <w:rFonts w:eastAsia="Times New Roman" w:cstheme="minorHAnsi"/>
                      <w:b/>
                      <w:color w:val="000000"/>
                      <w:lang w:val="es-ES" w:eastAsia="es-ES"/>
                    </w:rPr>
                    <w:t xml:space="preserve">Procuraduría General de la República, edificio sede, </w:t>
                  </w:r>
                  <w:r w:rsidR="00842547" w:rsidRPr="00FF30D4">
                    <w:rPr>
                      <w:rFonts w:eastAsia="Times New Roman" w:cstheme="minorHAnsi"/>
                      <w:b/>
                      <w:color w:val="000000"/>
                      <w:lang w:val="es-ES" w:eastAsia="es-ES"/>
                    </w:rPr>
                    <w:t>Atrio</w:t>
                  </w:r>
                  <w:r w:rsidRPr="00FF30D4">
                    <w:rPr>
                      <w:rFonts w:eastAsia="Times New Roman" w:cstheme="minorHAnsi"/>
                      <w:b/>
                      <w:color w:val="000000"/>
                      <w:lang w:val="es-ES" w:eastAsia="es-ES"/>
                    </w:rPr>
                    <w:t xml:space="preserve"> del primer nivel</w:t>
                  </w:r>
                  <w:r w:rsidR="008534DE" w:rsidRPr="00FF30D4">
                    <w:rPr>
                      <w:rFonts w:eastAsia="Times New Roman" w:cstheme="minorHAnsi"/>
                      <w:b/>
                      <w:color w:val="000000"/>
                      <w:lang w:val="es-ES" w:eastAsia="es-ES"/>
                    </w:rPr>
                    <w:t>.</w:t>
                  </w:r>
                </w:p>
              </w:tc>
            </w:tr>
            <w:tr w:rsidR="00842547" w:rsidRPr="00683555" w:rsidTr="006D7CAD">
              <w:trPr>
                <w:trHeight w:val="665"/>
              </w:trPr>
              <w:tc>
                <w:tcPr>
                  <w:tcW w:w="3690" w:type="dxa"/>
                  <w:shd w:val="clear" w:color="auto" w:fill="auto"/>
                  <w:vAlign w:val="center"/>
                  <w:hideMark/>
                </w:tcPr>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Palacio de Justicia de Santiago</w:t>
                  </w:r>
                </w:p>
              </w:tc>
              <w:tc>
                <w:tcPr>
                  <w:tcW w:w="2974" w:type="dxa"/>
                  <w:shd w:val="clear" w:color="auto" w:fill="auto"/>
                  <w:vAlign w:val="center"/>
                  <w:hideMark/>
                </w:tcPr>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Santiago y Valverde</w:t>
                  </w:r>
                </w:p>
              </w:tc>
              <w:tc>
                <w:tcPr>
                  <w:tcW w:w="2773" w:type="dxa"/>
                </w:tcPr>
                <w:p w:rsidR="00842547" w:rsidRPr="00FF30D4" w:rsidRDefault="005A2C00" w:rsidP="00683555">
                  <w:pPr>
                    <w:pStyle w:val="Estilo1"/>
                    <w:spacing w:line="240" w:lineRule="auto"/>
                    <w:ind w:right="88"/>
                    <w:rPr>
                      <w:rFonts w:asciiTheme="minorHAnsi" w:eastAsia="Times New Roman" w:hAnsiTheme="minorHAnsi" w:cstheme="minorHAnsi"/>
                      <w:b/>
                      <w:sz w:val="22"/>
                      <w:lang w:eastAsia="es-ES"/>
                    </w:rPr>
                  </w:pPr>
                  <w:r w:rsidRPr="00FF30D4">
                    <w:rPr>
                      <w:rFonts w:asciiTheme="minorHAnsi" w:hAnsiTheme="minorHAnsi" w:cstheme="minorHAnsi"/>
                      <w:b/>
                      <w:sz w:val="22"/>
                    </w:rPr>
                    <w:t xml:space="preserve">Primera Sala del Juzgado Trabajo, </w:t>
                  </w:r>
                  <w:r w:rsidR="007A5865" w:rsidRPr="00FF30D4">
                    <w:rPr>
                      <w:rFonts w:asciiTheme="minorHAnsi" w:hAnsiTheme="minorHAnsi" w:cstheme="minorHAnsi"/>
                      <w:b/>
                      <w:sz w:val="22"/>
                    </w:rPr>
                    <w:t xml:space="preserve">Palacio de Justicia 1er. Nivel </w:t>
                  </w:r>
                  <w:r w:rsidRPr="00FF30D4">
                    <w:rPr>
                      <w:rFonts w:asciiTheme="minorHAnsi" w:hAnsiTheme="minorHAnsi" w:cstheme="minorHAnsi"/>
                      <w:b/>
                      <w:sz w:val="22"/>
                    </w:rPr>
                    <w:t>.</w:t>
                  </w:r>
                </w:p>
              </w:tc>
            </w:tr>
            <w:tr w:rsidR="00842547" w:rsidRPr="00683555" w:rsidTr="006D7CAD">
              <w:trPr>
                <w:trHeight w:val="791"/>
              </w:trPr>
              <w:tc>
                <w:tcPr>
                  <w:tcW w:w="3690" w:type="dxa"/>
                  <w:shd w:val="clear" w:color="auto" w:fill="auto"/>
                  <w:vAlign w:val="center"/>
                  <w:hideMark/>
                </w:tcPr>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Palacio de Justicia de La Vega</w:t>
                  </w:r>
                </w:p>
              </w:tc>
              <w:tc>
                <w:tcPr>
                  <w:tcW w:w="2974" w:type="dxa"/>
                  <w:shd w:val="clear" w:color="auto" w:fill="auto"/>
                  <w:vAlign w:val="center"/>
                  <w:hideMark/>
                </w:tcPr>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 xml:space="preserve">La Vega, Espaillat, Sánchez Ramírez </w:t>
                  </w:r>
                </w:p>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y Monseñor Nouel</w:t>
                  </w:r>
                </w:p>
              </w:tc>
              <w:tc>
                <w:tcPr>
                  <w:tcW w:w="2773" w:type="dxa"/>
                </w:tcPr>
                <w:p w:rsidR="00842547" w:rsidRPr="00FF30D4" w:rsidRDefault="00842547" w:rsidP="00C61400">
                  <w:pPr>
                    <w:pStyle w:val="Estilo1"/>
                    <w:spacing w:line="240" w:lineRule="auto"/>
                    <w:ind w:right="88"/>
                    <w:rPr>
                      <w:rFonts w:asciiTheme="minorHAnsi" w:hAnsiTheme="minorHAnsi" w:cstheme="minorHAnsi"/>
                      <w:b/>
                      <w:sz w:val="22"/>
                    </w:rPr>
                  </w:pPr>
                  <w:r w:rsidRPr="00FF30D4">
                    <w:rPr>
                      <w:rFonts w:asciiTheme="minorHAnsi" w:hAnsiTheme="minorHAnsi" w:cstheme="minorHAnsi"/>
                      <w:b/>
                      <w:sz w:val="22"/>
                    </w:rPr>
                    <w:t xml:space="preserve">Palacio de Justicia de La Vega, </w:t>
                  </w:r>
                  <w:r w:rsidR="00C61400" w:rsidRPr="00FF30D4">
                    <w:rPr>
                      <w:rFonts w:asciiTheme="minorHAnsi" w:hAnsiTheme="minorHAnsi" w:cstheme="minorHAnsi"/>
                      <w:b/>
                      <w:sz w:val="22"/>
                    </w:rPr>
                    <w:t>Procuraduría Corte de La Vega, 2do. Nivel.</w:t>
                  </w:r>
                </w:p>
              </w:tc>
            </w:tr>
            <w:tr w:rsidR="00842547" w:rsidRPr="00683555" w:rsidTr="006D7CAD">
              <w:trPr>
                <w:trHeight w:val="737"/>
              </w:trPr>
              <w:tc>
                <w:tcPr>
                  <w:tcW w:w="3690" w:type="dxa"/>
                  <w:shd w:val="clear" w:color="auto" w:fill="auto"/>
                  <w:vAlign w:val="center"/>
                  <w:hideMark/>
                </w:tcPr>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Palacio de Justicia de Montecristi</w:t>
                  </w:r>
                </w:p>
              </w:tc>
              <w:tc>
                <w:tcPr>
                  <w:tcW w:w="2974" w:type="dxa"/>
                  <w:shd w:val="clear" w:color="auto" w:fill="auto"/>
                  <w:vAlign w:val="center"/>
                  <w:hideMark/>
                </w:tcPr>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 xml:space="preserve">Montecristi, </w:t>
                  </w:r>
                </w:p>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Dajabón y Santiago Rodríguez</w:t>
                  </w:r>
                </w:p>
              </w:tc>
              <w:tc>
                <w:tcPr>
                  <w:tcW w:w="2773" w:type="dxa"/>
                </w:tcPr>
                <w:p w:rsidR="00842547" w:rsidRPr="00FF30D4" w:rsidRDefault="00842547" w:rsidP="00C61400">
                  <w:pPr>
                    <w:spacing w:before="240" w:line="240" w:lineRule="auto"/>
                    <w:ind w:right="-2"/>
                    <w:jc w:val="both"/>
                    <w:rPr>
                      <w:rFonts w:eastAsia="Times New Roman" w:cstheme="minorHAnsi"/>
                      <w:b/>
                      <w:lang w:eastAsia="es-ES"/>
                    </w:rPr>
                  </w:pPr>
                  <w:r w:rsidRPr="00FF30D4">
                    <w:rPr>
                      <w:rFonts w:cstheme="minorHAnsi"/>
                      <w:b/>
                    </w:rPr>
                    <w:t xml:space="preserve">Palacio de Justicia de Montecristi, </w:t>
                  </w:r>
                  <w:r w:rsidR="00C61400" w:rsidRPr="00FF30D4">
                    <w:rPr>
                      <w:rFonts w:cstheme="minorHAnsi"/>
                      <w:b/>
                    </w:rPr>
                    <w:t>Salón de Actos.</w:t>
                  </w:r>
                </w:p>
              </w:tc>
            </w:tr>
            <w:tr w:rsidR="00842547" w:rsidRPr="00683555" w:rsidTr="006D7CAD">
              <w:trPr>
                <w:trHeight w:val="660"/>
              </w:trPr>
              <w:tc>
                <w:tcPr>
                  <w:tcW w:w="3690" w:type="dxa"/>
                  <w:shd w:val="clear" w:color="auto" w:fill="auto"/>
                  <w:vAlign w:val="center"/>
                  <w:hideMark/>
                </w:tcPr>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Palacio de Justicia de San Cristóbal</w:t>
                  </w:r>
                </w:p>
              </w:tc>
              <w:tc>
                <w:tcPr>
                  <w:tcW w:w="2974" w:type="dxa"/>
                  <w:shd w:val="clear" w:color="auto" w:fill="auto"/>
                  <w:vAlign w:val="center"/>
                  <w:hideMark/>
                </w:tcPr>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 xml:space="preserve">San Cristóbal, </w:t>
                  </w:r>
                  <w:proofErr w:type="spellStart"/>
                  <w:r w:rsidRPr="00FF30D4">
                    <w:rPr>
                      <w:rFonts w:eastAsia="Times New Roman" w:cstheme="minorHAnsi"/>
                      <w:b/>
                      <w:lang w:val="es-ES" w:eastAsia="es-ES"/>
                    </w:rPr>
                    <w:t>Peravia</w:t>
                  </w:r>
                  <w:proofErr w:type="spellEnd"/>
                  <w:r w:rsidRPr="00FF30D4">
                    <w:rPr>
                      <w:rFonts w:eastAsia="Times New Roman" w:cstheme="minorHAnsi"/>
                      <w:b/>
                      <w:lang w:val="es-ES" w:eastAsia="es-ES"/>
                    </w:rPr>
                    <w:t xml:space="preserve">, </w:t>
                  </w:r>
                </w:p>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 xml:space="preserve">San José de </w:t>
                  </w:r>
                  <w:proofErr w:type="spellStart"/>
                  <w:r w:rsidRPr="00FF30D4">
                    <w:rPr>
                      <w:rFonts w:eastAsia="Times New Roman" w:cstheme="minorHAnsi"/>
                      <w:b/>
                      <w:lang w:val="es-ES" w:eastAsia="es-ES"/>
                    </w:rPr>
                    <w:t>Ocoa</w:t>
                  </w:r>
                  <w:proofErr w:type="spellEnd"/>
                  <w:r w:rsidRPr="00FF30D4">
                    <w:rPr>
                      <w:rFonts w:eastAsia="Times New Roman" w:cstheme="minorHAnsi"/>
                      <w:b/>
                      <w:lang w:val="es-ES" w:eastAsia="es-ES"/>
                    </w:rPr>
                    <w:t xml:space="preserve"> y Azua</w:t>
                  </w:r>
                </w:p>
              </w:tc>
              <w:tc>
                <w:tcPr>
                  <w:tcW w:w="2773" w:type="dxa"/>
                </w:tcPr>
                <w:p w:rsidR="00842547" w:rsidRPr="00FF30D4" w:rsidRDefault="00842547" w:rsidP="00683555">
                  <w:pPr>
                    <w:spacing w:before="240" w:line="240" w:lineRule="auto"/>
                    <w:ind w:right="-2"/>
                    <w:jc w:val="both"/>
                    <w:rPr>
                      <w:rFonts w:eastAsia="Times New Roman" w:cstheme="minorHAnsi"/>
                      <w:b/>
                      <w:lang w:eastAsia="es-ES"/>
                    </w:rPr>
                  </w:pPr>
                  <w:r w:rsidRPr="00FF30D4">
                    <w:rPr>
                      <w:rFonts w:cstheme="minorHAnsi"/>
                      <w:b/>
                    </w:rPr>
                    <w:t>Palaci</w:t>
                  </w:r>
                  <w:r w:rsidR="002D5B6D" w:rsidRPr="00FF30D4">
                    <w:rPr>
                      <w:rFonts w:cstheme="minorHAnsi"/>
                      <w:b/>
                    </w:rPr>
                    <w:t xml:space="preserve">o de Justicia de San Cristóbal, </w:t>
                  </w:r>
                  <w:proofErr w:type="spellStart"/>
                  <w:r w:rsidR="002D5B6D" w:rsidRPr="00FF30D4">
                    <w:rPr>
                      <w:rFonts w:cstheme="minorHAnsi"/>
                      <w:b/>
                    </w:rPr>
                    <w:t>Salon</w:t>
                  </w:r>
                  <w:proofErr w:type="spellEnd"/>
                  <w:r w:rsidR="002D5B6D" w:rsidRPr="00FF30D4">
                    <w:rPr>
                      <w:rFonts w:cstheme="minorHAnsi"/>
                      <w:b/>
                    </w:rPr>
                    <w:t xml:space="preserve"> de la Corte de Apelación, 2do. Nivel.</w:t>
                  </w:r>
                </w:p>
              </w:tc>
            </w:tr>
            <w:tr w:rsidR="00842547" w:rsidRPr="00683555" w:rsidTr="006D7CAD">
              <w:trPr>
                <w:trHeight w:val="1268"/>
              </w:trPr>
              <w:tc>
                <w:tcPr>
                  <w:tcW w:w="3690" w:type="dxa"/>
                  <w:shd w:val="clear" w:color="auto" w:fill="auto"/>
                  <w:vAlign w:val="center"/>
                  <w:hideMark/>
                </w:tcPr>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Palacio de Justicia de San Francisco de Macorís</w:t>
                  </w:r>
                </w:p>
              </w:tc>
              <w:tc>
                <w:tcPr>
                  <w:tcW w:w="2974" w:type="dxa"/>
                  <w:shd w:val="clear" w:color="auto" w:fill="auto"/>
                  <w:vAlign w:val="center"/>
                  <w:hideMark/>
                </w:tcPr>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 xml:space="preserve">Duarte, Salcedo, </w:t>
                  </w:r>
                </w:p>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Mar</w:t>
                  </w:r>
                  <w:r w:rsidRPr="00FF30D4">
                    <w:rPr>
                      <w:rFonts w:eastAsia="Times New Roman" w:cstheme="minorHAnsi"/>
                      <w:b/>
                      <w:lang w:val="es-ES" w:eastAsia="ja-JP"/>
                    </w:rPr>
                    <w:t>í</w:t>
                  </w:r>
                  <w:r w:rsidRPr="00FF30D4">
                    <w:rPr>
                      <w:rFonts w:eastAsia="Times New Roman" w:cstheme="minorHAnsi"/>
                      <w:b/>
                      <w:lang w:val="es-ES" w:eastAsia="es-ES"/>
                    </w:rPr>
                    <w:t>a Trinidad Sánchez y Samaná</w:t>
                  </w:r>
                </w:p>
              </w:tc>
              <w:tc>
                <w:tcPr>
                  <w:tcW w:w="2773" w:type="dxa"/>
                </w:tcPr>
                <w:p w:rsidR="00842547" w:rsidRPr="00FF30D4" w:rsidRDefault="00842547" w:rsidP="00683555">
                  <w:pPr>
                    <w:spacing w:before="240" w:line="240" w:lineRule="auto"/>
                    <w:ind w:right="-2"/>
                    <w:jc w:val="both"/>
                    <w:rPr>
                      <w:rFonts w:cstheme="minorHAnsi"/>
                      <w:b/>
                    </w:rPr>
                  </w:pPr>
                  <w:r w:rsidRPr="00FF30D4">
                    <w:rPr>
                      <w:rFonts w:cstheme="minorHAnsi"/>
                      <w:b/>
                    </w:rPr>
                    <w:t>Palacio de Justicia de San Francisco, 1era. sala del Juzgado de Instrucción.</w:t>
                  </w:r>
                </w:p>
              </w:tc>
            </w:tr>
            <w:tr w:rsidR="00842547" w:rsidRPr="00683555" w:rsidTr="006D7CAD">
              <w:trPr>
                <w:trHeight w:val="660"/>
              </w:trPr>
              <w:tc>
                <w:tcPr>
                  <w:tcW w:w="3690" w:type="dxa"/>
                  <w:shd w:val="clear" w:color="auto" w:fill="auto"/>
                  <w:vAlign w:val="center"/>
                  <w:hideMark/>
                </w:tcPr>
                <w:p w:rsidR="00842547" w:rsidRPr="00FF30D4" w:rsidRDefault="00842547" w:rsidP="00683555">
                  <w:pPr>
                    <w:spacing w:after="0" w:line="240" w:lineRule="auto"/>
                    <w:jc w:val="center"/>
                    <w:rPr>
                      <w:rFonts w:eastAsia="Times New Roman" w:cstheme="minorHAnsi"/>
                      <w:b/>
                      <w:lang w:eastAsia="es-ES"/>
                    </w:rPr>
                  </w:pPr>
                  <w:r w:rsidRPr="00FF30D4">
                    <w:rPr>
                      <w:rFonts w:eastAsia="Times New Roman" w:cstheme="minorHAnsi"/>
                      <w:b/>
                      <w:lang w:val="es-ES" w:eastAsia="es-ES"/>
                    </w:rPr>
                    <w:t>Palacio de Justicia de San Juan de la Maguana</w:t>
                  </w:r>
                </w:p>
              </w:tc>
              <w:tc>
                <w:tcPr>
                  <w:tcW w:w="2974" w:type="dxa"/>
                  <w:shd w:val="clear" w:color="auto" w:fill="auto"/>
                  <w:vAlign w:val="center"/>
                  <w:hideMark/>
                </w:tcPr>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 xml:space="preserve">San Juan de la </w:t>
                  </w:r>
                </w:p>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Maguana y Elías Piña</w:t>
                  </w:r>
                </w:p>
              </w:tc>
              <w:tc>
                <w:tcPr>
                  <w:tcW w:w="2773" w:type="dxa"/>
                </w:tcPr>
                <w:p w:rsidR="00842547" w:rsidRPr="00FF30D4" w:rsidRDefault="00842547" w:rsidP="00683555">
                  <w:pPr>
                    <w:spacing w:before="240" w:line="240" w:lineRule="auto"/>
                    <w:jc w:val="both"/>
                    <w:rPr>
                      <w:rFonts w:eastAsia="Times New Roman" w:cstheme="minorHAnsi"/>
                      <w:lang w:eastAsia="es-ES"/>
                    </w:rPr>
                  </w:pPr>
                  <w:r w:rsidRPr="00FF30D4">
                    <w:rPr>
                      <w:rFonts w:cstheme="minorHAnsi"/>
                      <w:b/>
                    </w:rPr>
                    <w:t>Palacio de Justicia de San Juan de la Maguana,</w:t>
                  </w:r>
                  <w:r w:rsidR="007A5865" w:rsidRPr="00FF30D4">
                    <w:rPr>
                      <w:rFonts w:cstheme="minorHAnsi"/>
                      <w:b/>
                    </w:rPr>
                    <w:t xml:space="preserve"> Salón de Conferencia Suprema Corte </w:t>
                  </w:r>
                  <w:r w:rsidRPr="00FF30D4">
                    <w:rPr>
                      <w:rFonts w:cstheme="minorHAnsi"/>
                      <w:b/>
                    </w:rPr>
                    <w:t xml:space="preserve"> </w:t>
                  </w:r>
                  <w:proofErr w:type="spellStart"/>
                  <w:r w:rsidRPr="00FF30D4">
                    <w:rPr>
                      <w:rFonts w:cstheme="minorHAnsi"/>
                      <w:b/>
                    </w:rPr>
                    <w:t>Corte</w:t>
                  </w:r>
                  <w:proofErr w:type="spellEnd"/>
                  <w:r w:rsidRPr="00FF30D4">
                    <w:rPr>
                      <w:rFonts w:cstheme="minorHAnsi"/>
                      <w:b/>
                    </w:rPr>
                    <w:t xml:space="preserve"> de Apelación.</w:t>
                  </w:r>
                </w:p>
              </w:tc>
            </w:tr>
            <w:tr w:rsidR="00212CB6" w:rsidRPr="00212CB6" w:rsidTr="006D7CAD">
              <w:trPr>
                <w:trHeight w:val="990"/>
              </w:trPr>
              <w:tc>
                <w:tcPr>
                  <w:tcW w:w="3690" w:type="dxa"/>
                  <w:shd w:val="clear" w:color="auto" w:fill="auto"/>
                  <w:vAlign w:val="center"/>
                  <w:hideMark/>
                </w:tcPr>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lastRenderedPageBreak/>
                    <w:t>Palacio de Justicia de San Pedro de Macorís</w:t>
                  </w:r>
                </w:p>
              </w:tc>
              <w:tc>
                <w:tcPr>
                  <w:tcW w:w="2974" w:type="dxa"/>
                  <w:shd w:val="clear" w:color="auto" w:fill="auto"/>
                  <w:vAlign w:val="center"/>
                  <w:hideMark/>
                </w:tcPr>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 xml:space="preserve">San Pedro de Macorís, El </w:t>
                  </w:r>
                  <w:proofErr w:type="spellStart"/>
                  <w:r w:rsidRPr="00FF30D4">
                    <w:rPr>
                      <w:rFonts w:eastAsia="Times New Roman" w:cstheme="minorHAnsi"/>
                      <w:b/>
                      <w:lang w:val="es-ES" w:eastAsia="es-ES"/>
                    </w:rPr>
                    <w:t>Seybo</w:t>
                  </w:r>
                  <w:proofErr w:type="spellEnd"/>
                  <w:r w:rsidRPr="00FF30D4">
                    <w:rPr>
                      <w:rFonts w:eastAsia="Times New Roman" w:cstheme="minorHAnsi"/>
                      <w:b/>
                      <w:lang w:val="es-ES" w:eastAsia="es-ES"/>
                    </w:rPr>
                    <w:t>, Hato Mayor, La Romana y La Altagracia</w:t>
                  </w:r>
                </w:p>
              </w:tc>
              <w:tc>
                <w:tcPr>
                  <w:tcW w:w="2773" w:type="dxa"/>
                </w:tcPr>
                <w:p w:rsidR="00842547" w:rsidRPr="00FF30D4" w:rsidRDefault="00842547" w:rsidP="00075178">
                  <w:pPr>
                    <w:spacing w:before="240" w:line="240" w:lineRule="auto"/>
                    <w:ind w:right="-2"/>
                    <w:jc w:val="both"/>
                    <w:rPr>
                      <w:rFonts w:cstheme="minorHAnsi"/>
                      <w:b/>
                    </w:rPr>
                  </w:pPr>
                  <w:r w:rsidRPr="00FF30D4">
                    <w:rPr>
                      <w:rFonts w:cstheme="minorHAnsi"/>
                      <w:b/>
                    </w:rPr>
                    <w:t xml:space="preserve">Palacio de Justicia de San Pedro de Macorís, </w:t>
                  </w:r>
                  <w:r w:rsidR="00075178" w:rsidRPr="00FF30D4">
                    <w:rPr>
                      <w:rFonts w:cstheme="minorHAnsi"/>
                      <w:b/>
                    </w:rPr>
                    <w:t>Salón Unipersonal.</w:t>
                  </w:r>
                </w:p>
              </w:tc>
            </w:tr>
            <w:tr w:rsidR="00212CB6" w:rsidRPr="00212CB6" w:rsidTr="006D7CAD">
              <w:trPr>
                <w:trHeight w:val="971"/>
              </w:trPr>
              <w:tc>
                <w:tcPr>
                  <w:tcW w:w="3690" w:type="dxa"/>
                  <w:shd w:val="clear" w:color="auto" w:fill="auto"/>
                  <w:vAlign w:val="center"/>
                  <w:hideMark/>
                </w:tcPr>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Palacio de Justicia de Puerto Plata</w:t>
                  </w:r>
                </w:p>
              </w:tc>
              <w:tc>
                <w:tcPr>
                  <w:tcW w:w="2974" w:type="dxa"/>
                  <w:shd w:val="clear" w:color="auto" w:fill="auto"/>
                  <w:vAlign w:val="center"/>
                  <w:hideMark/>
                </w:tcPr>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Puerta Plata</w:t>
                  </w:r>
                </w:p>
              </w:tc>
              <w:tc>
                <w:tcPr>
                  <w:tcW w:w="2773" w:type="dxa"/>
                </w:tcPr>
                <w:p w:rsidR="00842547" w:rsidRPr="00FF30D4" w:rsidRDefault="00842547" w:rsidP="007A5865">
                  <w:pPr>
                    <w:spacing w:before="240" w:line="240" w:lineRule="auto"/>
                    <w:ind w:right="-2"/>
                    <w:jc w:val="both"/>
                    <w:rPr>
                      <w:rFonts w:eastAsia="Times New Roman" w:cstheme="minorHAnsi"/>
                      <w:b/>
                      <w:lang w:eastAsia="es-ES"/>
                    </w:rPr>
                  </w:pPr>
                  <w:r w:rsidRPr="00FF30D4">
                    <w:rPr>
                      <w:rFonts w:cstheme="minorHAnsi"/>
                      <w:b/>
                    </w:rPr>
                    <w:t>Palacio de Justicia de Puerto Plata,</w:t>
                  </w:r>
                  <w:r w:rsidR="007A5865" w:rsidRPr="00FF30D4">
                    <w:rPr>
                      <w:rFonts w:cstheme="minorHAnsi"/>
                      <w:b/>
                    </w:rPr>
                    <w:t xml:space="preserve"> Explanada Frente a la Fiscalía</w:t>
                  </w:r>
                  <w:r w:rsidRPr="00FF30D4">
                    <w:rPr>
                      <w:rFonts w:cstheme="minorHAnsi"/>
                      <w:b/>
                    </w:rPr>
                    <w:t>.</w:t>
                  </w:r>
                </w:p>
              </w:tc>
            </w:tr>
            <w:tr w:rsidR="00212CB6" w:rsidRPr="00212CB6" w:rsidTr="006D7CAD">
              <w:trPr>
                <w:trHeight w:val="656"/>
              </w:trPr>
              <w:tc>
                <w:tcPr>
                  <w:tcW w:w="3690" w:type="dxa"/>
                  <w:shd w:val="clear" w:color="auto" w:fill="auto"/>
                  <w:vAlign w:val="center"/>
                  <w:hideMark/>
                </w:tcPr>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Palacio de Justicia de Barahona</w:t>
                  </w:r>
                </w:p>
              </w:tc>
              <w:tc>
                <w:tcPr>
                  <w:tcW w:w="2974" w:type="dxa"/>
                  <w:shd w:val="clear" w:color="auto" w:fill="auto"/>
                  <w:vAlign w:val="center"/>
                  <w:hideMark/>
                </w:tcPr>
                <w:p w:rsidR="00842547" w:rsidRPr="00FF30D4" w:rsidRDefault="00842547" w:rsidP="00683555">
                  <w:pPr>
                    <w:spacing w:after="0" w:line="240" w:lineRule="auto"/>
                    <w:jc w:val="center"/>
                    <w:rPr>
                      <w:rFonts w:eastAsia="Times New Roman" w:cstheme="minorHAnsi"/>
                      <w:b/>
                      <w:lang w:val="es-ES" w:eastAsia="es-ES"/>
                    </w:rPr>
                  </w:pPr>
                  <w:r w:rsidRPr="00FF30D4">
                    <w:rPr>
                      <w:rFonts w:eastAsia="Times New Roman" w:cstheme="minorHAnsi"/>
                      <w:b/>
                      <w:lang w:val="es-ES" w:eastAsia="es-ES"/>
                    </w:rPr>
                    <w:t xml:space="preserve">Barahona, </w:t>
                  </w:r>
                  <w:proofErr w:type="spellStart"/>
                  <w:r w:rsidRPr="00FF30D4">
                    <w:rPr>
                      <w:rFonts w:eastAsia="Times New Roman" w:cstheme="minorHAnsi"/>
                      <w:b/>
                      <w:lang w:val="es-ES" w:eastAsia="es-ES"/>
                    </w:rPr>
                    <w:t>Bahoruco</w:t>
                  </w:r>
                  <w:proofErr w:type="spellEnd"/>
                  <w:r w:rsidRPr="00FF30D4">
                    <w:rPr>
                      <w:rFonts w:eastAsia="Times New Roman" w:cstheme="minorHAnsi"/>
                      <w:b/>
                      <w:lang w:val="es-ES" w:eastAsia="es-ES"/>
                    </w:rPr>
                    <w:t>, Independencia y Pedernales</w:t>
                  </w:r>
                </w:p>
              </w:tc>
              <w:tc>
                <w:tcPr>
                  <w:tcW w:w="2773" w:type="dxa"/>
                </w:tcPr>
                <w:p w:rsidR="00842547" w:rsidRPr="00FF30D4" w:rsidRDefault="00842547" w:rsidP="007A5865">
                  <w:pPr>
                    <w:spacing w:before="240" w:line="240" w:lineRule="auto"/>
                    <w:ind w:right="-2"/>
                    <w:jc w:val="both"/>
                    <w:rPr>
                      <w:rFonts w:eastAsia="Times New Roman" w:cstheme="minorHAnsi"/>
                      <w:b/>
                      <w:lang w:eastAsia="es-ES"/>
                    </w:rPr>
                  </w:pPr>
                  <w:r w:rsidRPr="00FF30D4">
                    <w:rPr>
                      <w:rFonts w:cstheme="minorHAnsi"/>
                      <w:b/>
                    </w:rPr>
                    <w:t>Palacio de Justicia de Barahona,</w:t>
                  </w:r>
                  <w:r w:rsidR="007A5865" w:rsidRPr="00FF30D4">
                    <w:rPr>
                      <w:rFonts w:cstheme="minorHAnsi"/>
                      <w:b/>
                    </w:rPr>
                    <w:t xml:space="preserve"> Salón Fiscalía de Barahona, 1er. Nivel.</w:t>
                  </w:r>
                  <w:bookmarkStart w:id="0" w:name="_GoBack"/>
                  <w:bookmarkEnd w:id="0"/>
                </w:p>
              </w:tc>
            </w:tr>
          </w:tbl>
          <w:p w:rsidR="00683555" w:rsidRPr="00683555" w:rsidRDefault="00683555" w:rsidP="00842547">
            <w:pPr>
              <w:ind w:left="435" w:right="645"/>
              <w:jc w:val="both"/>
              <w:rPr>
                <w:rFonts w:cstheme="minorHAnsi"/>
              </w:rPr>
            </w:pPr>
          </w:p>
          <w:p w:rsidR="0077112D" w:rsidRDefault="008534DE" w:rsidP="00842547">
            <w:pPr>
              <w:ind w:left="435" w:right="645"/>
              <w:jc w:val="both"/>
              <w:rPr>
                <w:rFonts w:cstheme="minorHAnsi"/>
              </w:rPr>
            </w:pPr>
            <w:r>
              <w:rPr>
                <w:rFonts w:cstheme="minorHAnsi"/>
              </w:rPr>
              <w:t>De igual maner</w:t>
            </w:r>
            <w:r w:rsidR="0077112D" w:rsidRPr="00683555">
              <w:rPr>
                <w:rFonts w:cstheme="minorHAnsi"/>
              </w:rPr>
              <w:t>a, informamos que cada mesa electoral estará compuesta por un presidente, secretario y vocal designados por el Comité Electoral. Asimismo, cada aspirante podrá designar un observador a su candidatura por jurisdicción, el cual de ser asignado deberá firmar el Acta de Conteo de Votos, junto a los integrantes de la mesa electoral, luego de declarada finalizada la jornada electoral. Los observadores de candidaturas deberán ser presentados por los candidatos previamente inscritos mediante comunicación escrita del candidato, dirigida al Comité Electoral especificando el lugar donde desempeñará esas funciones, vía la Secretaría General del Ministerio Público, a más tardar el día viernes 11 de dici</w:t>
            </w:r>
            <w:r>
              <w:rPr>
                <w:rFonts w:cstheme="minorHAnsi"/>
              </w:rPr>
              <w:t xml:space="preserve">embre de 2020, a las 4:00 p.m. </w:t>
            </w:r>
          </w:p>
          <w:p w:rsidR="008534DE" w:rsidRDefault="008534DE" w:rsidP="00842547">
            <w:pPr>
              <w:ind w:left="435" w:right="645"/>
              <w:jc w:val="both"/>
              <w:rPr>
                <w:rFonts w:cstheme="minorHAnsi"/>
              </w:rPr>
            </w:pPr>
          </w:p>
          <w:p w:rsidR="0077112D" w:rsidRPr="00683555" w:rsidRDefault="0077112D" w:rsidP="00842547">
            <w:pPr>
              <w:ind w:left="435" w:right="645"/>
              <w:jc w:val="both"/>
              <w:rPr>
                <w:rFonts w:cstheme="minorHAnsi"/>
              </w:rPr>
            </w:pPr>
            <w:r w:rsidRPr="00683555">
              <w:rPr>
                <w:rFonts w:cstheme="minorHAnsi"/>
                <w:b/>
              </w:rPr>
              <w:t>Nota importante:</w:t>
            </w:r>
            <w:r w:rsidRPr="00683555">
              <w:rPr>
                <w:rFonts w:cstheme="minorHAnsi"/>
              </w:rPr>
              <w:t xml:space="preserve"> A fin de garantizar la celebración proceso </w:t>
            </w:r>
            <w:r w:rsidR="009F58BF" w:rsidRPr="00683555">
              <w:rPr>
                <w:rFonts w:cstheme="minorHAnsi"/>
              </w:rPr>
              <w:t xml:space="preserve">electoral, </w:t>
            </w:r>
            <w:r w:rsidRPr="00683555">
              <w:rPr>
                <w:rFonts w:cstheme="minorHAnsi"/>
              </w:rPr>
              <w:t>en mayor protección de la salud y seguridad de todos los miembros del Ministerio Público, colab</w:t>
            </w:r>
            <w:r w:rsidR="009F58BF" w:rsidRPr="00683555">
              <w:rPr>
                <w:rFonts w:cstheme="minorHAnsi"/>
              </w:rPr>
              <w:t xml:space="preserve">oradores e invitados especiales </w:t>
            </w:r>
            <w:r w:rsidRPr="00683555">
              <w:rPr>
                <w:rFonts w:cstheme="minorHAnsi"/>
              </w:rPr>
              <w:t>ante la pandemia provocada por el COVID-19, hacemos un llamado de acatar los protocolos de seguridad dados por las autoridades sanitarias del país, de manera principal el uso de mascaril</w:t>
            </w:r>
            <w:r w:rsidR="009F58BF" w:rsidRPr="00683555">
              <w:rPr>
                <w:rFonts w:cstheme="minorHAnsi"/>
              </w:rPr>
              <w:t xml:space="preserve">la, y colaboración con el distanciamiento dentro del Centro de Votación. A su vez, de ser posible solicítanos a que cada uno de los miembros del Ministerio Público, al momento de ingresar al centro de votación lleven su carnet o documento de identidad visible, a los fines agilizar el proceso y evitar el intercambio de documentos. </w:t>
            </w:r>
          </w:p>
          <w:p w:rsidR="0077112D" w:rsidRPr="00683555" w:rsidRDefault="0077112D" w:rsidP="00842547">
            <w:pPr>
              <w:ind w:left="435" w:right="645"/>
              <w:jc w:val="both"/>
              <w:rPr>
                <w:rFonts w:cstheme="minorHAnsi"/>
              </w:rPr>
            </w:pPr>
          </w:p>
          <w:p w:rsidR="00842547" w:rsidRPr="00683555" w:rsidRDefault="00842547" w:rsidP="00842547">
            <w:pPr>
              <w:ind w:left="435" w:right="645"/>
              <w:jc w:val="both"/>
              <w:rPr>
                <w:rFonts w:cstheme="minorHAnsi"/>
              </w:rPr>
            </w:pPr>
            <w:r w:rsidRPr="00683555">
              <w:rPr>
                <w:rFonts w:cstheme="minorHAnsi"/>
              </w:rPr>
              <w:t>Para cualquier información adicional, favor contactar a la Secretaría General del Ministerio Público, extensión 317, y a la Dirección General de Carrera del Ministerio Público, extensión 218.</w:t>
            </w:r>
          </w:p>
          <w:p w:rsidR="00842547" w:rsidRPr="00683555" w:rsidRDefault="00842547" w:rsidP="00842547">
            <w:pPr>
              <w:pStyle w:val="Sinespaciado"/>
              <w:jc w:val="both"/>
              <w:rPr>
                <w:rFonts w:cstheme="minorHAnsi"/>
                <w:lang w:val="es-DO"/>
              </w:rPr>
            </w:pPr>
          </w:p>
          <w:p w:rsidR="005C1B5C" w:rsidRPr="00683555" w:rsidRDefault="005C1B5C" w:rsidP="006A36A3">
            <w:pPr>
              <w:spacing w:line="276" w:lineRule="auto"/>
              <w:ind w:left="450"/>
              <w:jc w:val="both"/>
              <w:rPr>
                <w:rFonts w:cstheme="minorHAnsi"/>
              </w:rPr>
            </w:pPr>
          </w:p>
          <w:p w:rsidR="0061639B" w:rsidRPr="00683555" w:rsidRDefault="005C1B5C" w:rsidP="006A36A3">
            <w:pPr>
              <w:spacing w:line="276" w:lineRule="auto"/>
              <w:ind w:left="450" w:right="765"/>
              <w:jc w:val="both"/>
              <w:rPr>
                <w:rFonts w:cstheme="minorHAnsi"/>
                <w:b/>
              </w:rPr>
            </w:pPr>
            <w:r w:rsidRPr="00683555">
              <w:rPr>
                <w:rFonts w:cstheme="minorHAnsi"/>
              </w:rPr>
              <w:t xml:space="preserve"> </w:t>
            </w:r>
          </w:p>
        </w:tc>
      </w:tr>
    </w:tbl>
    <w:p w:rsidR="007C5FAE" w:rsidRPr="00683555" w:rsidRDefault="007C5FAE" w:rsidP="0048385E">
      <w:pPr>
        <w:pStyle w:val="Sinespaciado"/>
        <w:ind w:left="450"/>
        <w:rPr>
          <w:rFonts w:cstheme="minorHAnsi"/>
          <w:lang w:val="es-DO"/>
        </w:rPr>
      </w:pPr>
    </w:p>
    <w:sectPr w:rsidR="007C5FAE" w:rsidRPr="00683555" w:rsidSect="0048385E">
      <w:pgSz w:w="12240" w:h="15840" w:code="1"/>
      <w:pgMar w:top="450" w:right="1134" w:bottom="9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0047"/>
    <w:multiLevelType w:val="hybridMultilevel"/>
    <w:tmpl w:val="18C2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9189F"/>
    <w:multiLevelType w:val="hybridMultilevel"/>
    <w:tmpl w:val="A590227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9A2E98"/>
    <w:multiLevelType w:val="hybridMultilevel"/>
    <w:tmpl w:val="33C8FC98"/>
    <w:lvl w:ilvl="0" w:tplc="D8EEA328">
      <w:start w:val="1"/>
      <w:numFmt w:val="decimal"/>
      <w:lvlText w:val="%1."/>
      <w:lvlJc w:val="left"/>
      <w:pPr>
        <w:ind w:left="720" w:hanging="360"/>
      </w:pPr>
      <w:rPr>
        <w:rFonts w:hint="default"/>
        <w:b w:val="0"/>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279D61EF"/>
    <w:multiLevelType w:val="hybridMultilevel"/>
    <w:tmpl w:val="33C8FC98"/>
    <w:lvl w:ilvl="0" w:tplc="D8EEA328">
      <w:start w:val="1"/>
      <w:numFmt w:val="decimal"/>
      <w:lvlText w:val="%1."/>
      <w:lvlJc w:val="left"/>
      <w:pPr>
        <w:ind w:left="720" w:hanging="360"/>
      </w:pPr>
      <w:rPr>
        <w:rFonts w:hint="default"/>
        <w:b w:val="0"/>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2ABC1EEC"/>
    <w:multiLevelType w:val="hybridMultilevel"/>
    <w:tmpl w:val="33C8FC98"/>
    <w:lvl w:ilvl="0" w:tplc="D8EEA328">
      <w:start w:val="1"/>
      <w:numFmt w:val="decimal"/>
      <w:lvlText w:val="%1."/>
      <w:lvlJc w:val="left"/>
      <w:pPr>
        <w:ind w:left="720" w:hanging="360"/>
      </w:pPr>
      <w:rPr>
        <w:rFonts w:hint="default"/>
        <w:b w:val="0"/>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2CE5085C"/>
    <w:multiLevelType w:val="hybridMultilevel"/>
    <w:tmpl w:val="B59A84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0BE2D80"/>
    <w:multiLevelType w:val="hybridMultilevel"/>
    <w:tmpl w:val="8DF8E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4455E74"/>
    <w:multiLevelType w:val="hybridMultilevel"/>
    <w:tmpl w:val="5DCA7E8E"/>
    <w:lvl w:ilvl="0" w:tplc="0C0A000D">
      <w:start w:val="1"/>
      <w:numFmt w:val="bullet"/>
      <w:lvlText w:val=""/>
      <w:lvlJc w:val="left"/>
      <w:pPr>
        <w:ind w:left="1502" w:hanging="360"/>
      </w:pPr>
      <w:rPr>
        <w:rFonts w:ascii="Wingdings" w:hAnsi="Wingdings" w:hint="default"/>
      </w:rPr>
    </w:lvl>
    <w:lvl w:ilvl="1" w:tplc="0C0A0003" w:tentative="1">
      <w:start w:val="1"/>
      <w:numFmt w:val="bullet"/>
      <w:lvlText w:val="o"/>
      <w:lvlJc w:val="left"/>
      <w:pPr>
        <w:ind w:left="2222" w:hanging="360"/>
      </w:pPr>
      <w:rPr>
        <w:rFonts w:ascii="Courier New" w:hAnsi="Courier New" w:cs="Courier New" w:hint="default"/>
      </w:rPr>
    </w:lvl>
    <w:lvl w:ilvl="2" w:tplc="0C0A0005" w:tentative="1">
      <w:start w:val="1"/>
      <w:numFmt w:val="bullet"/>
      <w:lvlText w:val=""/>
      <w:lvlJc w:val="left"/>
      <w:pPr>
        <w:ind w:left="2942" w:hanging="360"/>
      </w:pPr>
      <w:rPr>
        <w:rFonts w:ascii="Wingdings" w:hAnsi="Wingdings" w:hint="default"/>
      </w:rPr>
    </w:lvl>
    <w:lvl w:ilvl="3" w:tplc="0C0A0001" w:tentative="1">
      <w:start w:val="1"/>
      <w:numFmt w:val="bullet"/>
      <w:lvlText w:val=""/>
      <w:lvlJc w:val="left"/>
      <w:pPr>
        <w:ind w:left="3662" w:hanging="360"/>
      </w:pPr>
      <w:rPr>
        <w:rFonts w:ascii="Symbol" w:hAnsi="Symbol" w:hint="default"/>
      </w:rPr>
    </w:lvl>
    <w:lvl w:ilvl="4" w:tplc="0C0A0003" w:tentative="1">
      <w:start w:val="1"/>
      <w:numFmt w:val="bullet"/>
      <w:lvlText w:val="o"/>
      <w:lvlJc w:val="left"/>
      <w:pPr>
        <w:ind w:left="4382" w:hanging="360"/>
      </w:pPr>
      <w:rPr>
        <w:rFonts w:ascii="Courier New" w:hAnsi="Courier New" w:cs="Courier New" w:hint="default"/>
      </w:rPr>
    </w:lvl>
    <w:lvl w:ilvl="5" w:tplc="0C0A0005" w:tentative="1">
      <w:start w:val="1"/>
      <w:numFmt w:val="bullet"/>
      <w:lvlText w:val=""/>
      <w:lvlJc w:val="left"/>
      <w:pPr>
        <w:ind w:left="5102" w:hanging="360"/>
      </w:pPr>
      <w:rPr>
        <w:rFonts w:ascii="Wingdings" w:hAnsi="Wingdings" w:hint="default"/>
      </w:rPr>
    </w:lvl>
    <w:lvl w:ilvl="6" w:tplc="0C0A0001" w:tentative="1">
      <w:start w:val="1"/>
      <w:numFmt w:val="bullet"/>
      <w:lvlText w:val=""/>
      <w:lvlJc w:val="left"/>
      <w:pPr>
        <w:ind w:left="5822" w:hanging="360"/>
      </w:pPr>
      <w:rPr>
        <w:rFonts w:ascii="Symbol" w:hAnsi="Symbol" w:hint="default"/>
      </w:rPr>
    </w:lvl>
    <w:lvl w:ilvl="7" w:tplc="0C0A0003" w:tentative="1">
      <w:start w:val="1"/>
      <w:numFmt w:val="bullet"/>
      <w:lvlText w:val="o"/>
      <w:lvlJc w:val="left"/>
      <w:pPr>
        <w:ind w:left="6542" w:hanging="360"/>
      </w:pPr>
      <w:rPr>
        <w:rFonts w:ascii="Courier New" w:hAnsi="Courier New" w:cs="Courier New" w:hint="default"/>
      </w:rPr>
    </w:lvl>
    <w:lvl w:ilvl="8" w:tplc="0C0A0005" w:tentative="1">
      <w:start w:val="1"/>
      <w:numFmt w:val="bullet"/>
      <w:lvlText w:val=""/>
      <w:lvlJc w:val="left"/>
      <w:pPr>
        <w:ind w:left="7262" w:hanging="360"/>
      </w:pPr>
      <w:rPr>
        <w:rFonts w:ascii="Wingdings" w:hAnsi="Wingdings" w:hint="default"/>
      </w:rPr>
    </w:lvl>
  </w:abstractNum>
  <w:abstractNum w:abstractNumId="8" w15:restartNumberingAfterBreak="0">
    <w:nsid w:val="45F476B3"/>
    <w:multiLevelType w:val="hybridMultilevel"/>
    <w:tmpl w:val="33C8FC98"/>
    <w:lvl w:ilvl="0" w:tplc="D8EEA328">
      <w:start w:val="1"/>
      <w:numFmt w:val="decimal"/>
      <w:lvlText w:val="%1."/>
      <w:lvlJc w:val="left"/>
      <w:pPr>
        <w:ind w:left="720" w:hanging="360"/>
      </w:pPr>
      <w:rPr>
        <w:rFonts w:hint="default"/>
        <w:b w:val="0"/>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51D223A6"/>
    <w:multiLevelType w:val="hybridMultilevel"/>
    <w:tmpl w:val="A886B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9B3775F"/>
    <w:multiLevelType w:val="hybridMultilevel"/>
    <w:tmpl w:val="33C8FC98"/>
    <w:lvl w:ilvl="0" w:tplc="D8EEA328">
      <w:start w:val="1"/>
      <w:numFmt w:val="decimal"/>
      <w:lvlText w:val="%1."/>
      <w:lvlJc w:val="left"/>
      <w:pPr>
        <w:ind w:left="720" w:hanging="360"/>
      </w:pPr>
      <w:rPr>
        <w:rFonts w:hint="default"/>
        <w:b w:val="0"/>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60F26AD6"/>
    <w:multiLevelType w:val="hybridMultilevel"/>
    <w:tmpl w:val="E18AED4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170579F"/>
    <w:multiLevelType w:val="hybridMultilevel"/>
    <w:tmpl w:val="33C8FC98"/>
    <w:lvl w:ilvl="0" w:tplc="D8EEA328">
      <w:start w:val="1"/>
      <w:numFmt w:val="decimal"/>
      <w:lvlText w:val="%1."/>
      <w:lvlJc w:val="left"/>
      <w:pPr>
        <w:ind w:left="720" w:hanging="360"/>
      </w:pPr>
      <w:rPr>
        <w:rFonts w:hint="default"/>
        <w:b w:val="0"/>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654B4A30"/>
    <w:multiLevelType w:val="hybridMultilevel"/>
    <w:tmpl w:val="804A2B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146A6D"/>
    <w:multiLevelType w:val="hybridMultilevel"/>
    <w:tmpl w:val="33C8FC98"/>
    <w:lvl w:ilvl="0" w:tplc="D8EEA328">
      <w:start w:val="1"/>
      <w:numFmt w:val="decimal"/>
      <w:lvlText w:val="%1."/>
      <w:lvlJc w:val="left"/>
      <w:pPr>
        <w:ind w:left="720" w:hanging="360"/>
      </w:pPr>
      <w:rPr>
        <w:rFonts w:hint="default"/>
        <w:b w:val="0"/>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756B5F19"/>
    <w:multiLevelType w:val="hybridMultilevel"/>
    <w:tmpl w:val="33C8FC98"/>
    <w:lvl w:ilvl="0" w:tplc="D8EEA328">
      <w:start w:val="1"/>
      <w:numFmt w:val="decimal"/>
      <w:lvlText w:val="%1."/>
      <w:lvlJc w:val="left"/>
      <w:pPr>
        <w:ind w:left="720" w:hanging="360"/>
      </w:pPr>
      <w:rPr>
        <w:rFonts w:hint="default"/>
        <w:b w:val="0"/>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76C24A82"/>
    <w:multiLevelType w:val="hybridMultilevel"/>
    <w:tmpl w:val="25F0C37A"/>
    <w:lvl w:ilvl="0" w:tplc="0C0A0001">
      <w:start w:val="1"/>
      <w:numFmt w:val="bullet"/>
      <w:lvlText w:val=""/>
      <w:lvlJc w:val="left"/>
      <w:pPr>
        <w:ind w:left="1502" w:hanging="360"/>
      </w:pPr>
      <w:rPr>
        <w:rFonts w:ascii="Symbol" w:hAnsi="Symbol" w:hint="default"/>
      </w:rPr>
    </w:lvl>
    <w:lvl w:ilvl="1" w:tplc="0C0A0003" w:tentative="1">
      <w:start w:val="1"/>
      <w:numFmt w:val="bullet"/>
      <w:lvlText w:val="o"/>
      <w:lvlJc w:val="left"/>
      <w:pPr>
        <w:ind w:left="2222" w:hanging="360"/>
      </w:pPr>
      <w:rPr>
        <w:rFonts w:ascii="Courier New" w:hAnsi="Courier New" w:cs="Courier New" w:hint="default"/>
      </w:rPr>
    </w:lvl>
    <w:lvl w:ilvl="2" w:tplc="0C0A0005" w:tentative="1">
      <w:start w:val="1"/>
      <w:numFmt w:val="bullet"/>
      <w:lvlText w:val=""/>
      <w:lvlJc w:val="left"/>
      <w:pPr>
        <w:ind w:left="2942" w:hanging="360"/>
      </w:pPr>
      <w:rPr>
        <w:rFonts w:ascii="Wingdings" w:hAnsi="Wingdings" w:hint="default"/>
      </w:rPr>
    </w:lvl>
    <w:lvl w:ilvl="3" w:tplc="0C0A0001" w:tentative="1">
      <w:start w:val="1"/>
      <w:numFmt w:val="bullet"/>
      <w:lvlText w:val=""/>
      <w:lvlJc w:val="left"/>
      <w:pPr>
        <w:ind w:left="3662" w:hanging="360"/>
      </w:pPr>
      <w:rPr>
        <w:rFonts w:ascii="Symbol" w:hAnsi="Symbol" w:hint="default"/>
      </w:rPr>
    </w:lvl>
    <w:lvl w:ilvl="4" w:tplc="0C0A0003" w:tentative="1">
      <w:start w:val="1"/>
      <w:numFmt w:val="bullet"/>
      <w:lvlText w:val="o"/>
      <w:lvlJc w:val="left"/>
      <w:pPr>
        <w:ind w:left="4382" w:hanging="360"/>
      </w:pPr>
      <w:rPr>
        <w:rFonts w:ascii="Courier New" w:hAnsi="Courier New" w:cs="Courier New" w:hint="default"/>
      </w:rPr>
    </w:lvl>
    <w:lvl w:ilvl="5" w:tplc="0C0A0005" w:tentative="1">
      <w:start w:val="1"/>
      <w:numFmt w:val="bullet"/>
      <w:lvlText w:val=""/>
      <w:lvlJc w:val="left"/>
      <w:pPr>
        <w:ind w:left="5102" w:hanging="360"/>
      </w:pPr>
      <w:rPr>
        <w:rFonts w:ascii="Wingdings" w:hAnsi="Wingdings" w:hint="default"/>
      </w:rPr>
    </w:lvl>
    <w:lvl w:ilvl="6" w:tplc="0C0A0001" w:tentative="1">
      <w:start w:val="1"/>
      <w:numFmt w:val="bullet"/>
      <w:lvlText w:val=""/>
      <w:lvlJc w:val="left"/>
      <w:pPr>
        <w:ind w:left="5822" w:hanging="360"/>
      </w:pPr>
      <w:rPr>
        <w:rFonts w:ascii="Symbol" w:hAnsi="Symbol" w:hint="default"/>
      </w:rPr>
    </w:lvl>
    <w:lvl w:ilvl="7" w:tplc="0C0A0003" w:tentative="1">
      <w:start w:val="1"/>
      <w:numFmt w:val="bullet"/>
      <w:lvlText w:val="o"/>
      <w:lvlJc w:val="left"/>
      <w:pPr>
        <w:ind w:left="6542" w:hanging="360"/>
      </w:pPr>
      <w:rPr>
        <w:rFonts w:ascii="Courier New" w:hAnsi="Courier New" w:cs="Courier New" w:hint="default"/>
      </w:rPr>
    </w:lvl>
    <w:lvl w:ilvl="8" w:tplc="0C0A0005" w:tentative="1">
      <w:start w:val="1"/>
      <w:numFmt w:val="bullet"/>
      <w:lvlText w:val=""/>
      <w:lvlJc w:val="left"/>
      <w:pPr>
        <w:ind w:left="7262" w:hanging="360"/>
      </w:pPr>
      <w:rPr>
        <w:rFonts w:ascii="Wingdings" w:hAnsi="Wingdings" w:hint="default"/>
      </w:rPr>
    </w:lvl>
  </w:abstractNum>
  <w:abstractNum w:abstractNumId="17" w15:restartNumberingAfterBreak="0">
    <w:nsid w:val="77B51E20"/>
    <w:multiLevelType w:val="hybridMultilevel"/>
    <w:tmpl w:val="33C8FC98"/>
    <w:lvl w:ilvl="0" w:tplc="D8EEA328">
      <w:start w:val="1"/>
      <w:numFmt w:val="decimal"/>
      <w:lvlText w:val="%1."/>
      <w:lvlJc w:val="left"/>
      <w:pPr>
        <w:ind w:left="720" w:hanging="360"/>
      </w:pPr>
      <w:rPr>
        <w:rFonts w:hint="default"/>
        <w:b w:val="0"/>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9"/>
  </w:num>
  <w:num w:numId="5">
    <w:abstractNumId w:val="1"/>
  </w:num>
  <w:num w:numId="6">
    <w:abstractNumId w:val="6"/>
  </w:num>
  <w:num w:numId="7">
    <w:abstractNumId w:val="5"/>
  </w:num>
  <w:num w:numId="8">
    <w:abstractNumId w:val="7"/>
  </w:num>
  <w:num w:numId="9">
    <w:abstractNumId w:val="16"/>
  </w:num>
  <w:num w:numId="10">
    <w:abstractNumId w:val="2"/>
  </w:num>
  <w:num w:numId="11">
    <w:abstractNumId w:val="3"/>
  </w:num>
  <w:num w:numId="12">
    <w:abstractNumId w:val="14"/>
  </w:num>
  <w:num w:numId="13">
    <w:abstractNumId w:val="17"/>
  </w:num>
  <w:num w:numId="14">
    <w:abstractNumId w:val="12"/>
  </w:num>
  <w:num w:numId="15">
    <w:abstractNumId w:val="4"/>
  </w:num>
  <w:num w:numId="16">
    <w:abstractNumId w:val="10"/>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5D"/>
    <w:rsid w:val="000059CB"/>
    <w:rsid w:val="00014367"/>
    <w:rsid w:val="00035FE3"/>
    <w:rsid w:val="00037253"/>
    <w:rsid w:val="00045940"/>
    <w:rsid w:val="000734B1"/>
    <w:rsid w:val="00075178"/>
    <w:rsid w:val="00081B73"/>
    <w:rsid w:val="00124970"/>
    <w:rsid w:val="00132B7D"/>
    <w:rsid w:val="001419AB"/>
    <w:rsid w:val="001844A5"/>
    <w:rsid w:val="00187D85"/>
    <w:rsid w:val="001D0A55"/>
    <w:rsid w:val="001F2FFC"/>
    <w:rsid w:val="00207731"/>
    <w:rsid w:val="00212CB6"/>
    <w:rsid w:val="00262DD4"/>
    <w:rsid w:val="0026391B"/>
    <w:rsid w:val="002776E1"/>
    <w:rsid w:val="002D5B6D"/>
    <w:rsid w:val="002E5B6B"/>
    <w:rsid w:val="00380CAD"/>
    <w:rsid w:val="003C1085"/>
    <w:rsid w:val="003C4914"/>
    <w:rsid w:val="003F00C4"/>
    <w:rsid w:val="00406658"/>
    <w:rsid w:val="004221C4"/>
    <w:rsid w:val="00430876"/>
    <w:rsid w:val="0048385E"/>
    <w:rsid w:val="004B2242"/>
    <w:rsid w:val="004B5DF5"/>
    <w:rsid w:val="00545792"/>
    <w:rsid w:val="00550990"/>
    <w:rsid w:val="00571BDD"/>
    <w:rsid w:val="005A2C00"/>
    <w:rsid w:val="005C1B5C"/>
    <w:rsid w:val="005C438B"/>
    <w:rsid w:val="005D2697"/>
    <w:rsid w:val="005E2EFB"/>
    <w:rsid w:val="005F3215"/>
    <w:rsid w:val="0061639B"/>
    <w:rsid w:val="00631425"/>
    <w:rsid w:val="00641FEF"/>
    <w:rsid w:val="00660B72"/>
    <w:rsid w:val="00673A25"/>
    <w:rsid w:val="00676D0A"/>
    <w:rsid w:val="00683555"/>
    <w:rsid w:val="006A36A3"/>
    <w:rsid w:val="006B4F21"/>
    <w:rsid w:val="006C1355"/>
    <w:rsid w:val="006D7CAD"/>
    <w:rsid w:val="00724F5D"/>
    <w:rsid w:val="0072638B"/>
    <w:rsid w:val="00727F6F"/>
    <w:rsid w:val="0077112D"/>
    <w:rsid w:val="007A5865"/>
    <w:rsid w:val="007B423F"/>
    <w:rsid w:val="007C5FAE"/>
    <w:rsid w:val="00806EA7"/>
    <w:rsid w:val="00842547"/>
    <w:rsid w:val="00846DB4"/>
    <w:rsid w:val="008534DE"/>
    <w:rsid w:val="00856BA4"/>
    <w:rsid w:val="0088297F"/>
    <w:rsid w:val="00887DBC"/>
    <w:rsid w:val="00894FF6"/>
    <w:rsid w:val="008B1188"/>
    <w:rsid w:val="008E37FB"/>
    <w:rsid w:val="00922E67"/>
    <w:rsid w:val="00937891"/>
    <w:rsid w:val="00946806"/>
    <w:rsid w:val="00980DCD"/>
    <w:rsid w:val="0099633D"/>
    <w:rsid w:val="009D2BF8"/>
    <w:rsid w:val="009F58BF"/>
    <w:rsid w:val="00A16E2D"/>
    <w:rsid w:val="00A91506"/>
    <w:rsid w:val="00AC1817"/>
    <w:rsid w:val="00AD045A"/>
    <w:rsid w:val="00B22F85"/>
    <w:rsid w:val="00B43827"/>
    <w:rsid w:val="00B56E95"/>
    <w:rsid w:val="00BF163A"/>
    <w:rsid w:val="00BF4E04"/>
    <w:rsid w:val="00C20302"/>
    <w:rsid w:val="00C51176"/>
    <w:rsid w:val="00C61400"/>
    <w:rsid w:val="00CB1FA2"/>
    <w:rsid w:val="00CC37F6"/>
    <w:rsid w:val="00CC4578"/>
    <w:rsid w:val="00D333EC"/>
    <w:rsid w:val="00D773A1"/>
    <w:rsid w:val="00D96370"/>
    <w:rsid w:val="00D963E4"/>
    <w:rsid w:val="00DA31FC"/>
    <w:rsid w:val="00DD1861"/>
    <w:rsid w:val="00DF4F33"/>
    <w:rsid w:val="00E16BEA"/>
    <w:rsid w:val="00E55147"/>
    <w:rsid w:val="00F10E1B"/>
    <w:rsid w:val="00F374CF"/>
    <w:rsid w:val="00FB7584"/>
    <w:rsid w:val="00FF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FB73"/>
  <w15:chartTrackingRefBased/>
  <w15:docId w15:val="{6AA47536-E38A-4BC6-879D-97A669FE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6"/>
    <w:qFormat/>
    <w:rsid w:val="00887DBC"/>
    <w:pPr>
      <w:ind w:left="720"/>
      <w:contextualSpacing/>
    </w:pPr>
  </w:style>
  <w:style w:type="paragraph" w:styleId="Sinespaciado">
    <w:name w:val="No Spacing"/>
    <w:aliases w:val="Cita Larga"/>
    <w:uiPriority w:val="1"/>
    <w:qFormat/>
    <w:rsid w:val="007C5FAE"/>
    <w:pPr>
      <w:spacing w:after="0" w:line="240" w:lineRule="auto"/>
    </w:pPr>
  </w:style>
  <w:style w:type="paragraph" w:styleId="Textodeglobo">
    <w:name w:val="Balloon Text"/>
    <w:basedOn w:val="Normal"/>
    <w:link w:val="TextodegloboCar"/>
    <w:uiPriority w:val="99"/>
    <w:semiHidden/>
    <w:unhideWhenUsed/>
    <w:rsid w:val="00CC37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37F6"/>
    <w:rPr>
      <w:rFonts w:ascii="Segoe UI" w:hAnsi="Segoe UI" w:cs="Segoe UI"/>
      <w:sz w:val="18"/>
      <w:szCs w:val="18"/>
    </w:rPr>
  </w:style>
  <w:style w:type="table" w:styleId="Tablaconcuadrcula">
    <w:name w:val="Table Grid"/>
    <w:basedOn w:val="Tablanormal"/>
    <w:uiPriority w:val="39"/>
    <w:rsid w:val="0061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16BEA"/>
    <w:rPr>
      <w:color w:val="0563C1" w:themeColor="hyperlink"/>
      <w:u w:val="single"/>
    </w:rPr>
  </w:style>
  <w:style w:type="paragraph" w:customStyle="1" w:styleId="Estilo1">
    <w:name w:val="Estilo1"/>
    <w:basedOn w:val="Normal"/>
    <w:link w:val="Estilo1Car"/>
    <w:qFormat/>
    <w:rsid w:val="006A36A3"/>
    <w:pPr>
      <w:spacing w:before="240" w:after="80" w:line="276" w:lineRule="auto"/>
      <w:jc w:val="both"/>
    </w:pPr>
    <w:rPr>
      <w:rFonts w:ascii="Corbel" w:eastAsia="Batang" w:hAnsi="Corbel"/>
      <w:sz w:val="24"/>
    </w:rPr>
  </w:style>
  <w:style w:type="character" w:customStyle="1" w:styleId="Estilo1Car">
    <w:name w:val="Estilo1 Car"/>
    <w:basedOn w:val="Fuentedeprrafopredeter"/>
    <w:link w:val="Estilo1"/>
    <w:rsid w:val="006A36A3"/>
    <w:rPr>
      <w:rFonts w:ascii="Corbel" w:eastAsia="Batang" w:hAnsi="Corbel"/>
      <w:sz w:val="24"/>
      <w:lang w:val="es-DO"/>
    </w:rPr>
  </w:style>
  <w:style w:type="character" w:customStyle="1" w:styleId="PrrafodelistaCar">
    <w:name w:val="Párrafo de lista Car"/>
    <w:basedOn w:val="Fuentedeprrafopredeter"/>
    <w:link w:val="Prrafodelista"/>
    <w:uiPriority w:val="36"/>
    <w:rsid w:val="006A36A3"/>
    <w:rPr>
      <w:lang w:val="es-DO"/>
    </w:rPr>
  </w:style>
  <w:style w:type="character" w:styleId="Refdecomentario">
    <w:name w:val="annotation reference"/>
    <w:basedOn w:val="Fuentedeprrafopredeter"/>
    <w:uiPriority w:val="99"/>
    <w:semiHidden/>
    <w:unhideWhenUsed/>
    <w:rsid w:val="00641FEF"/>
    <w:rPr>
      <w:sz w:val="16"/>
      <w:szCs w:val="16"/>
    </w:rPr>
  </w:style>
  <w:style w:type="paragraph" w:styleId="Textocomentario">
    <w:name w:val="annotation text"/>
    <w:basedOn w:val="Normal"/>
    <w:link w:val="TextocomentarioCar"/>
    <w:uiPriority w:val="99"/>
    <w:semiHidden/>
    <w:unhideWhenUsed/>
    <w:rsid w:val="00641F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1FEF"/>
    <w:rPr>
      <w:sz w:val="20"/>
      <w:szCs w:val="20"/>
      <w:lang w:val="es-DO"/>
    </w:rPr>
  </w:style>
  <w:style w:type="paragraph" w:styleId="Asuntodelcomentario">
    <w:name w:val="annotation subject"/>
    <w:basedOn w:val="Textocomentario"/>
    <w:next w:val="Textocomentario"/>
    <w:link w:val="AsuntodelcomentarioCar"/>
    <w:uiPriority w:val="99"/>
    <w:semiHidden/>
    <w:unhideWhenUsed/>
    <w:rsid w:val="00641FEF"/>
    <w:rPr>
      <w:b/>
      <w:bCs/>
    </w:rPr>
  </w:style>
  <w:style w:type="character" w:customStyle="1" w:styleId="AsuntodelcomentarioCar">
    <w:name w:val="Asunto del comentario Car"/>
    <w:basedOn w:val="TextocomentarioCar"/>
    <w:link w:val="Asuntodelcomentario"/>
    <w:uiPriority w:val="99"/>
    <w:semiHidden/>
    <w:rsid w:val="00641FEF"/>
    <w:rPr>
      <w:b/>
      <w:bCs/>
      <w:sz w:val="20"/>
      <w:szCs w:val="20"/>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7474">
      <w:bodyDiv w:val="1"/>
      <w:marLeft w:val="0"/>
      <w:marRight w:val="0"/>
      <w:marTop w:val="0"/>
      <w:marBottom w:val="0"/>
      <w:divBdr>
        <w:top w:val="none" w:sz="0" w:space="0" w:color="auto"/>
        <w:left w:val="none" w:sz="0" w:space="0" w:color="auto"/>
        <w:bottom w:val="none" w:sz="0" w:space="0" w:color="auto"/>
        <w:right w:val="none" w:sz="0" w:space="0" w:color="auto"/>
      </w:divBdr>
    </w:div>
    <w:div w:id="1486430126">
      <w:bodyDiv w:val="1"/>
      <w:marLeft w:val="0"/>
      <w:marRight w:val="0"/>
      <w:marTop w:val="0"/>
      <w:marBottom w:val="0"/>
      <w:divBdr>
        <w:top w:val="none" w:sz="0" w:space="0" w:color="auto"/>
        <w:left w:val="none" w:sz="0" w:space="0" w:color="auto"/>
        <w:bottom w:val="none" w:sz="0" w:space="0" w:color="auto"/>
        <w:right w:val="none" w:sz="0" w:space="0" w:color="auto"/>
      </w:divBdr>
    </w:div>
    <w:div w:id="18656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679</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Enny De La Rosa</dc:creator>
  <cp:keywords/>
  <dc:description/>
  <cp:lastModifiedBy>Nercy Marien Lafontaine Matos</cp:lastModifiedBy>
  <cp:revision>6</cp:revision>
  <cp:lastPrinted>2020-12-11T13:30:00Z</cp:lastPrinted>
  <dcterms:created xsi:type="dcterms:W3CDTF">2020-12-11T15:38:00Z</dcterms:created>
  <dcterms:modified xsi:type="dcterms:W3CDTF">2020-12-11T16:07:00Z</dcterms:modified>
</cp:coreProperties>
</file>